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DC2D" w14:textId="77777777" w:rsidR="00A21271" w:rsidRDefault="00000000">
      <w:pPr>
        <w:spacing w:after="120"/>
        <w:jc w:val="both"/>
        <w:rPr>
          <w:rFonts w:ascii="Arial" w:eastAsia="Arial" w:hAnsi="Arial" w:cs="Arial"/>
          <w:b/>
          <w:color w:val="366091"/>
          <w:sz w:val="28"/>
          <w:szCs w:val="28"/>
        </w:rPr>
      </w:pPr>
      <w:r>
        <w:rPr>
          <w:rFonts w:ascii="Arial" w:eastAsia="Arial" w:hAnsi="Arial" w:cs="Arial"/>
          <w:b/>
          <w:color w:val="366091"/>
          <w:sz w:val="28"/>
          <w:szCs w:val="28"/>
        </w:rPr>
        <w:t xml:space="preserve">Dvacet let v Unii: Příjemci z Libereckého kraje už získali 8,4 miliard z regionálních operačních programů.  </w:t>
      </w:r>
    </w:p>
    <w:p w14:paraId="7A5F66BD" w14:textId="2D1F7CC2" w:rsidR="00A21271" w:rsidRDefault="00000000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Praha/Liberec 2</w:t>
      </w:r>
      <w:r w:rsidR="008E4363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 5.</w:t>
      </w:r>
      <w:r>
        <w:rPr>
          <w:rFonts w:ascii="Arial" w:eastAsia="Arial" w:hAnsi="Arial" w:cs="Arial"/>
          <w:b/>
        </w:rPr>
        <w:t xml:space="preserve"> – Evropské finance jsou hlavní hybnou silou regionálních investic. Čtyři na sebe navazující regionální operační programy financovaly v Libereckém kraji už 1 104 projektů. Nejvíc peněz zamířilo do dopravy, zdravotnictví a vzdělávání. Vyplývá to ze statistik Centra pro regionální rozvoj, které programy administrovalo. Jeho liberecká pobočka vytipovala tři nejdůležitější projekty posledních dvaceti let. </w:t>
      </w:r>
    </w:p>
    <w:p w14:paraId="38F549EF" w14:textId="77777777" w:rsidR="00A21271" w:rsidRDefault="0000000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Bezmála 1,8 miliardy Kč směřovalo do krajské silniční sítě a udržitelné dopravy. Na výstavbu, modernizaci i navýšení kapacit získaly více než 1,6 miliardy z EU mateřské, základní a střední školy v regionu. Asi 1,5 miliardy korun, z nichž velkou část poskytl dodatečný nástroj REACT-EU (reakce EU na pandemii Covid-19), přibylo také ve zdravotnictví. </w:t>
      </w:r>
    </w:p>
    <w:p w14:paraId="3522379B" w14:textId="77777777" w:rsidR="00A21271" w:rsidRDefault="0000000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Nejnákladnější projekt zrealizovala Krajská nemocnice Liberec. Na moderní vybavení pro posílení páteřní sítě nemocnic přispěla EU přes 351 milionů korun. Více než 209 milionů poskytl IROP na rekonstrukci </w:t>
      </w:r>
      <w:proofErr w:type="spellStart"/>
      <w:r>
        <w:rPr>
          <w:rFonts w:ascii="Arial" w:eastAsia="Arial" w:hAnsi="Arial" w:cs="Arial"/>
        </w:rPr>
        <w:t>Liebiegova</w:t>
      </w:r>
      <w:proofErr w:type="spellEnd"/>
      <w:r>
        <w:rPr>
          <w:rFonts w:ascii="Arial" w:eastAsia="Arial" w:hAnsi="Arial" w:cs="Arial"/>
        </w:rPr>
        <w:t xml:space="preserve"> paláce pro potřeby polyfunkčního komunitního centra. S pomocí bezmála 223 milionů se rekonstruovala silnice II/292 v úseku Rybnice, Loukov a Dolní </w:t>
      </w:r>
      <w:proofErr w:type="spellStart"/>
      <w:r>
        <w:rPr>
          <w:rFonts w:ascii="Arial" w:eastAsia="Arial" w:hAnsi="Arial" w:cs="Arial"/>
        </w:rPr>
        <w:t>Sytová</w:t>
      </w:r>
      <w:proofErr w:type="spellEnd"/>
      <w:r>
        <w:rPr>
          <w:rFonts w:ascii="Arial" w:eastAsia="Arial" w:hAnsi="Arial" w:cs="Arial"/>
        </w:rPr>
        <w:t xml:space="preserve">, jednalo se o největší a nejdražší silniční akci v historii kraje. </w:t>
      </w:r>
      <w:r>
        <w:t xml:space="preserve"> </w:t>
      </w:r>
    </w:p>
    <w:p w14:paraId="7CBC10B8" w14:textId="77777777" w:rsidR="00A21271" w:rsidRDefault="0000000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Přes 3,5 miliard si z celkové sumy ukrojil přímo Liberecký kraj. 2,6 miliardy pak inkasovaly obce, které zároveň realizovaly nejvíc projektů (534). </w:t>
      </w:r>
    </w:p>
    <w:p w14:paraId="55DA53C2" w14:textId="77777777" w:rsidR="00A21271" w:rsidRDefault="00A21271">
      <w:pPr>
        <w:spacing w:after="120"/>
        <w:jc w:val="both"/>
        <w:rPr>
          <w:rFonts w:ascii="Arial" w:eastAsia="Arial" w:hAnsi="Arial" w:cs="Arial"/>
          <w:sz w:val="10"/>
          <w:szCs w:val="10"/>
        </w:rPr>
      </w:pPr>
    </w:p>
    <w:p w14:paraId="33CC2F7D" w14:textId="77777777" w:rsidR="00A21271" w:rsidRDefault="00000000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Podporované oblasti, výše dotace z regionálních OP (2004–2024) a počty projektů</w:t>
      </w:r>
    </w:p>
    <w:tbl>
      <w:tblPr>
        <w:tblStyle w:val="a"/>
        <w:tblW w:w="92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23"/>
        <w:gridCol w:w="2452"/>
        <w:gridCol w:w="2702"/>
      </w:tblGrid>
      <w:tr w:rsidR="00A21271" w14:paraId="6C91FD91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vAlign w:val="bottom"/>
          </w:tcPr>
          <w:p w14:paraId="3B46AB79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b/>
                <w:color w:val="000000"/>
              </w:rPr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Liberecký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vAlign w:val="bottom"/>
          </w:tcPr>
          <w:p w14:paraId="212D0B5D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b/>
                <w:color w:val="000000"/>
              </w:rPr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8 356 166 806,96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44B3E1"/>
              <w:right w:val="nil"/>
            </w:tcBorders>
            <w:shd w:val="clear" w:color="auto" w:fill="auto"/>
            <w:vAlign w:val="bottom"/>
          </w:tcPr>
          <w:p w14:paraId="5819B06C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b/>
                <w:color w:val="000000"/>
              </w:rPr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1 104</w:t>
            </w:r>
          </w:p>
        </w:tc>
      </w:tr>
      <w:tr w:rsidR="00A21271" w14:paraId="5CD69A21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997D1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Dopravní infrastruktura a udržitelná doprava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1F561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1 791 677 936,86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F7CE0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62</w:t>
            </w:r>
          </w:p>
        </w:tc>
      </w:tr>
      <w:tr w:rsidR="00A21271" w14:paraId="73D71DC1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3CE76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eGovernment, kyberbezpečnost a v. správa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462FA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280 237 071,95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5F00D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242</w:t>
            </w:r>
          </w:p>
        </w:tc>
      </w:tr>
      <w:tr w:rsidR="00A21271" w14:paraId="79AA2B05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D58D8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Energetické úspory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62752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412 031 357,63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F27E5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198</w:t>
            </w:r>
          </w:p>
        </w:tc>
      </w:tr>
      <w:tr w:rsidR="00A21271" w14:paraId="255EDD6D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14CD0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IZS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C93EA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282 971 783,72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3555F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16</w:t>
            </w:r>
          </w:p>
        </w:tc>
      </w:tr>
      <w:tr w:rsidR="00A21271" w14:paraId="6B3E5F80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1761D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Komunitní místní rozvoj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D165F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290 582 936,09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FFA33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118</w:t>
            </w:r>
          </w:p>
        </w:tc>
      </w:tr>
      <w:tr w:rsidR="00A21271" w14:paraId="0633ADFB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29DB2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Kultura a cestovní ruch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89A97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551 739 448,78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F8665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72</w:t>
            </w:r>
          </w:p>
        </w:tc>
      </w:tr>
      <w:tr w:rsidR="00A21271" w14:paraId="0005F2B5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62F22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Ostatní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AE0A1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302 191 503,34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83995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130</w:t>
            </w:r>
          </w:p>
        </w:tc>
      </w:tr>
      <w:tr w:rsidR="00A21271" w14:paraId="1078D6BC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CBA9B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Podpora podnikání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FB6A2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8 058 714,62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E42E3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8</w:t>
            </w:r>
          </w:p>
        </w:tc>
      </w:tr>
      <w:tr w:rsidR="00A21271" w14:paraId="27929DA1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29CBA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REACT-EU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34869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1 155 910 914,77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DD0DE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31</w:t>
            </w:r>
          </w:p>
        </w:tc>
      </w:tr>
      <w:tr w:rsidR="00A21271" w14:paraId="660BC3B9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6002E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Sociální infrastruktura a sociální služby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1C49E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968 425 772,96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0CE6A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94</w:t>
            </w:r>
          </w:p>
        </w:tc>
      </w:tr>
      <w:tr w:rsidR="00A21271" w14:paraId="7DF160AB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07CED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Technická pomoc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57F71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82 037 503,84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6E8E6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15</w:t>
            </w:r>
          </w:p>
        </w:tc>
      </w:tr>
      <w:tr w:rsidR="00A21271" w14:paraId="5313BCB7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68B44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Vzdělávání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96F04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1 671 289 808,04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4D8F2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101</w:t>
            </w:r>
          </w:p>
        </w:tc>
      </w:tr>
      <w:tr w:rsidR="00A21271" w14:paraId="7F340057" w14:textId="77777777">
        <w:trPr>
          <w:trHeight w:val="28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B9B9D" w14:textId="77777777" w:rsidR="00A21271" w:rsidRDefault="00000000">
            <w:pPr>
              <w:spacing w:after="0" w:line="240" w:lineRule="auto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Zdravotnictví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D956E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559 012 054,36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A43B3" w14:textId="77777777" w:rsidR="00A21271" w:rsidRDefault="00000000">
            <w:pPr>
              <w:spacing w:after="0" w:line="240" w:lineRule="auto"/>
              <w:jc w:val="right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17</w:t>
            </w:r>
          </w:p>
        </w:tc>
      </w:tr>
    </w:tbl>
    <w:p w14:paraId="08FE1367" w14:textId="77777777" w:rsidR="00A21271" w:rsidRDefault="00A21271">
      <w:pPr>
        <w:spacing w:after="120"/>
        <w:jc w:val="both"/>
        <w:rPr>
          <w:rFonts w:ascii="Arial" w:eastAsia="Arial" w:hAnsi="Arial" w:cs="Arial"/>
          <w:color w:val="FF0000"/>
        </w:rPr>
      </w:pPr>
    </w:p>
    <w:p w14:paraId="163B0B65" w14:textId="77777777" w:rsidR="00A21271" w:rsidRDefault="00000000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klíčové projekty podle liberecké kanceláře Centra pro regionální rozvoj</w:t>
      </w:r>
    </w:p>
    <w:p w14:paraId="7230E546" w14:textId="77777777" w:rsidR="00A21271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„Peníze z regionálních operačních programů pomohly v dopravní infrastruktuře, školství, zdravotnictví, sociální sféře i kulturním a společenském vyžití. Pokud mám však vybrat tři klíčové projekty, budou to komunitní centrum ve Vratislavicích, výstavba nového pavilonu pro onkologicky nemocné pacienty v liberecké nemocnici a stavba nové mateřské školy </w:t>
      </w:r>
      <w:r>
        <w:rPr>
          <w:rFonts w:ascii="Arial" w:eastAsia="Arial" w:hAnsi="Arial" w:cs="Arial"/>
          <w:i/>
        </w:rPr>
        <w:lastRenderedPageBreak/>
        <w:t>v Semilech,“</w:t>
      </w:r>
      <w:r>
        <w:rPr>
          <w:rFonts w:ascii="Arial" w:eastAsia="Arial" w:hAnsi="Arial" w:cs="Arial"/>
        </w:rPr>
        <w:t xml:space="preserve"> vypočítává Simona Malá, ředitelka liberecké pobočky Centra pro regionální rozvoj. </w:t>
      </w:r>
    </w:p>
    <w:p w14:paraId="58D8A87D" w14:textId="77777777" w:rsidR="00A21271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Spolkové komunitní centrum Vratislavice </w:t>
      </w:r>
    </w:p>
    <w:p w14:paraId="0AC49935" w14:textId="77777777" w:rsidR="00A21271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Polyfunkční komunitní centrum vzniklo rekonstrukcí dřívější fary a přístavbou nové části. Stavba získala řadu ocenění </w:t>
      </w:r>
      <w:r>
        <w:rPr>
          <w:rFonts w:ascii="Arial" w:eastAsia="Arial" w:hAnsi="Arial" w:cs="Arial"/>
          <w:i/>
        </w:rPr>
        <w:t>„Na centrum máme spousty pozitivních ohlasů od občanů. Oceňují nové místo k rodinnému setkávání, možnost zapojit se do spolkové činnosti, využít sociální poradenství, knihovnu či vzdělávací aktivity pro seniory,“</w:t>
      </w:r>
      <w:r>
        <w:rPr>
          <w:rFonts w:ascii="Arial" w:eastAsia="Arial" w:hAnsi="Arial" w:cs="Arial"/>
        </w:rPr>
        <w:t xml:space="preserve"> vyjmenovává benefity Simona Malá. </w:t>
      </w:r>
    </w:p>
    <w:p w14:paraId="333638E8" w14:textId="77777777" w:rsidR="00A21271" w:rsidRDefault="00000000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Rozvoj péče o onkologické pacienty v Krajské nemocnici Liberec </w:t>
      </w:r>
    </w:p>
    <w:p w14:paraId="4231EE07" w14:textId="77777777" w:rsidR="00A21271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Nově vybudovaný pavilon Oddělení nukleární medicíny disponuje také nejmodernějším přístrojem PET/CT, za kterým dosud museli pacienti dojíždět do 100 km vzdálené nemocnice. Nové pracoviště poskytuje komplexní onkologickou péči a diagnostiku. </w:t>
      </w:r>
    </w:p>
    <w:p w14:paraId="108562E7" w14:textId="77777777" w:rsidR="00A21271" w:rsidRDefault="00000000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Novostavba mateřské školy v Semilech</w:t>
      </w:r>
    </w:p>
    <w:p w14:paraId="68300205" w14:textId="77777777" w:rsidR="00A21271" w:rsidRDefault="0000000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Původní provizorní školku ze 70. let nahradila novostavba s kapacitou 110 děti. Zajímavostí je její rozdělení na dvě části, kdy jedna se věnuje waldorfskému vzdělávání. Stavba se pyšní zvláštní cenou ministra pro místní rozvoj, nominací na Stavbu roku 2023 a českou cenou za architekturu 2023. </w:t>
      </w:r>
    </w:p>
    <w:p w14:paraId="14CA6C4F" w14:textId="77777777" w:rsidR="00A21271" w:rsidRDefault="0000000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Regionální operační programy podpořily v České republice za 20 let </w:t>
      </w:r>
      <w:r>
        <w:rPr>
          <w:rFonts w:ascii="Arial" w:eastAsia="Arial" w:hAnsi="Arial" w:cs="Arial"/>
          <w:b/>
        </w:rPr>
        <w:t>25 415</w:t>
      </w:r>
      <w:r>
        <w:rPr>
          <w:rFonts w:ascii="Arial" w:eastAsia="Arial" w:hAnsi="Arial" w:cs="Arial"/>
        </w:rPr>
        <w:t xml:space="preserve"> projektů částkou převyšující </w:t>
      </w:r>
      <w:r>
        <w:rPr>
          <w:rFonts w:ascii="Arial" w:eastAsia="Arial" w:hAnsi="Arial" w:cs="Arial"/>
          <w:b/>
        </w:rPr>
        <w:t>193,7</w:t>
      </w:r>
      <w:r>
        <w:rPr>
          <w:rFonts w:ascii="Arial" w:eastAsia="Arial" w:hAnsi="Arial" w:cs="Arial"/>
        </w:rPr>
        <w:t xml:space="preserve"> miliard korun. </w:t>
      </w:r>
    </w:p>
    <w:p w14:paraId="34A9DB28" w14:textId="77777777" w:rsidR="00A21271" w:rsidRDefault="0000000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Liberecká pobočka CRR oslaví výročí vstupu do EU také akcí pro veřejnost, kterou pořádá v pátek 24. května. </w:t>
      </w:r>
      <w:r>
        <w:rPr>
          <w:rFonts w:ascii="Arial" w:eastAsia="Arial" w:hAnsi="Arial" w:cs="Arial"/>
        </w:rPr>
        <w:t xml:space="preserve">Den otevřených dveří doplní přednáška pro studenty Obchodní akademie Liberec. </w:t>
      </w:r>
    </w:p>
    <w:p w14:paraId="734959CE" w14:textId="77777777" w:rsidR="00A21271" w:rsidRDefault="00A21271">
      <w:pPr>
        <w:spacing w:after="120"/>
        <w:jc w:val="both"/>
        <w:rPr>
          <w:rFonts w:ascii="Arial" w:eastAsia="Arial" w:hAnsi="Arial" w:cs="Arial"/>
          <w:b/>
        </w:rPr>
      </w:pPr>
    </w:p>
    <w:p w14:paraId="60073097" w14:textId="77777777" w:rsidR="00A21271" w:rsidRDefault="00000000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Více informací poskytne:</w:t>
      </w:r>
    </w:p>
    <w:p w14:paraId="0EDFFB55" w14:textId="77777777" w:rsidR="00A21271" w:rsidRDefault="0000000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Markéta Reedová, ředitelka odboru komunikace a rozvoje</w:t>
      </w:r>
    </w:p>
    <w:p w14:paraId="41B9A3A0" w14:textId="77777777" w:rsidR="00A21271" w:rsidRDefault="00000000">
      <w:pPr>
        <w:spacing w:after="120"/>
        <w:jc w:val="both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0000FF"/>
            <w:u w:val="single"/>
          </w:rPr>
          <w:t>marketa.reedova@crr.cz</w:t>
        </w:r>
      </w:hyperlink>
      <w:r>
        <w:rPr>
          <w:rFonts w:ascii="Arial" w:eastAsia="Arial" w:hAnsi="Arial" w:cs="Arial"/>
        </w:rPr>
        <w:t>, tel.: 606 616 297</w:t>
      </w:r>
    </w:p>
    <w:p w14:paraId="09C7105D" w14:textId="77777777" w:rsidR="00A21271" w:rsidRDefault="00A21271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34CB6E18" w14:textId="77777777" w:rsidR="00A21271" w:rsidRDefault="00000000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Centru pro regionální rozvoj České republiky:</w:t>
      </w:r>
    </w:p>
    <w:p w14:paraId="7B4B4BEF" w14:textId="77777777" w:rsidR="00A21271" w:rsidRDefault="00000000">
      <w:pPr>
        <w:spacing w:after="12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Centrum pro regionální rozvoj České republiky (</w:t>
      </w:r>
      <w:hyperlink r:id="rId8">
        <w:r>
          <w:rPr>
            <w:color w:val="0000FF"/>
            <w:u w:val="single"/>
          </w:rPr>
          <w:t>www.crr.gov.cz</w:t>
        </w:r>
      </w:hyperlink>
      <w:r>
        <w:rPr>
          <w:rFonts w:ascii="Arial" w:eastAsia="Arial" w:hAnsi="Arial" w:cs="Arial"/>
          <w:sz w:val="20"/>
          <w:szCs w:val="20"/>
        </w:rPr>
        <w:t xml:space="preserve">) je státní příspěvková organizace řízená Ministerstvem pro místní rozvoj ČR. Už od roku 1996 je její 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9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Enterprise</w:t>
        </w:r>
        <w:proofErr w:type="spellEnd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Europe</w:t>
        </w:r>
        <w:proofErr w:type="spellEnd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Network</w:t>
        </w:r>
      </w:hyperlink>
      <w:r>
        <w:rPr>
          <w:rFonts w:ascii="Arial" w:eastAsia="Arial" w:hAnsi="Arial" w:cs="Arial"/>
          <w:sz w:val="20"/>
          <w:szCs w:val="20"/>
        </w:rPr>
        <w:t>. Dlouhodobá zkušenost s realizací projektů podporovaných EU, vlastní řídicí a organizační systémy 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a zároveň udržet vysokou úroveň kvality práce. </w:t>
      </w:r>
    </w:p>
    <w:sectPr w:rsidR="00A212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BD63" w14:textId="77777777" w:rsidR="00035BCF" w:rsidRDefault="00035BCF">
      <w:pPr>
        <w:spacing w:after="0" w:line="240" w:lineRule="auto"/>
      </w:pPr>
      <w:r>
        <w:separator/>
      </w:r>
    </w:p>
  </w:endnote>
  <w:endnote w:type="continuationSeparator" w:id="0">
    <w:p w14:paraId="54DC0AE8" w14:textId="77777777" w:rsidR="00035BCF" w:rsidRDefault="0003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8B19" w14:textId="77777777" w:rsidR="00A21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Centrum pro regionální rozvoj České republiky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hyperlink r:id="rId1">
      <w:r>
        <w:rPr>
          <w:color w:val="0000FF"/>
          <w:u w:val="single"/>
        </w:rPr>
        <w:t>www.crr.gov.cz</w:t>
      </w:r>
    </w:hyperlink>
  </w:p>
  <w:p w14:paraId="5E012BB3" w14:textId="77777777" w:rsidR="00A21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D957" w14:textId="77777777" w:rsidR="00035BCF" w:rsidRDefault="00035BCF">
      <w:pPr>
        <w:spacing w:after="0" w:line="240" w:lineRule="auto"/>
      </w:pPr>
      <w:r>
        <w:separator/>
      </w:r>
    </w:p>
  </w:footnote>
  <w:footnote w:type="continuationSeparator" w:id="0">
    <w:p w14:paraId="63965BA6" w14:textId="77777777" w:rsidR="00035BCF" w:rsidRDefault="0003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1A24" w14:textId="77777777" w:rsidR="00A212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19C8D1" wp14:editId="3939C3A8">
          <wp:simplePos x="0" y="0"/>
          <wp:positionH relativeFrom="column">
            <wp:posOffset>-135889</wp:posOffset>
          </wp:positionH>
          <wp:positionV relativeFrom="paragraph">
            <wp:posOffset>-49529</wp:posOffset>
          </wp:positionV>
          <wp:extent cx="2596515" cy="774065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69C5D2" w14:textId="77777777" w:rsidR="00A21271" w:rsidRDefault="00A21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4AD6F4F6" w14:textId="77777777" w:rsidR="00A21271" w:rsidRDefault="00A21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33805BE2" w14:textId="77777777" w:rsidR="00A21271" w:rsidRDefault="00A21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5E51B0C3" w14:textId="77777777" w:rsidR="00A21271" w:rsidRDefault="00A21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7EF70380" w14:textId="77777777" w:rsidR="00A21271" w:rsidRDefault="00A21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654E3D75" w14:textId="77777777" w:rsidR="00A21271" w:rsidRDefault="00A21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71"/>
    <w:rsid w:val="00035BCF"/>
    <w:rsid w:val="008E4363"/>
    <w:rsid w:val="00A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9746"/>
  <w15:docId w15:val="{02188C7B-B4C9-4AFB-8A22-BDDE8933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  <w:style w:type="character" w:styleId="Zdraznn">
    <w:name w:val="Emphasis"/>
    <w:basedOn w:val="Standardnpsmoodstavce"/>
    <w:uiPriority w:val="20"/>
    <w:qFormat/>
    <w:rsid w:val="00867DC9"/>
    <w:rPr>
      <w:i/>
      <w:i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g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a.reedova@cr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g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e3ORkklBPY2QnYK3nx6KDqQZ7A==">CgMxLjA4AHIhMVVZSmcyMG9rYjdrUHotTHEyb1Y5MXdqajJGY1diem1F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Johová Lucie</cp:lastModifiedBy>
  <cp:revision>2</cp:revision>
  <dcterms:created xsi:type="dcterms:W3CDTF">2024-05-17T07:41:00Z</dcterms:created>
  <dcterms:modified xsi:type="dcterms:W3CDTF">2024-05-22T11:00:00Z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e750a0148885235855dee74a25f7f7c6819b23e3356543cdf6d462830cdf1bf7</vt:lpwstr>
  </property>
</Properties>
</file>